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35D" w:rsidRPr="00D779DF" w:rsidRDefault="00CB2E28" w:rsidP="003B035D">
      <w:pPr>
        <w:pStyle w:val="NoSpacing"/>
        <w:spacing w:before="1200" w:after="120" w:line="240" w:lineRule="auto"/>
        <w:jc w:val="center"/>
        <w:rPr>
          <w:b/>
          <w:sz w:val="40"/>
          <w:szCs w:val="40"/>
          <w:lang w:eastAsia="en-NZ"/>
        </w:rPr>
      </w:pPr>
      <w:proofErr w:type="spellStart"/>
      <w:r>
        <w:rPr>
          <w:b/>
          <w:sz w:val="40"/>
          <w:szCs w:val="40"/>
          <w:lang w:eastAsia="en-NZ"/>
        </w:rPr>
        <w:t>Takutai</w:t>
      </w:r>
      <w:proofErr w:type="spellEnd"/>
      <w:r>
        <w:rPr>
          <w:b/>
          <w:sz w:val="40"/>
          <w:szCs w:val="40"/>
          <w:lang w:eastAsia="en-NZ"/>
        </w:rPr>
        <w:t xml:space="preserve"> Moana </w:t>
      </w:r>
      <w:r w:rsidR="003B035D" w:rsidRPr="00D779DF">
        <w:rPr>
          <w:b/>
          <w:sz w:val="40"/>
          <w:szCs w:val="40"/>
          <w:lang w:eastAsia="en-NZ"/>
        </w:rPr>
        <w:t>Mandate Guidelines</w:t>
      </w:r>
    </w:p>
    <w:p w:rsidR="003B035D" w:rsidRPr="0069177E" w:rsidRDefault="003B035D" w:rsidP="003B035D">
      <w:pPr>
        <w:pStyle w:val="Default"/>
        <w:spacing w:before="240" w:after="240"/>
        <w:jc w:val="both"/>
        <w:rPr>
          <w:rFonts w:cs="Arial Mäori"/>
        </w:rPr>
      </w:pPr>
      <w:r w:rsidRPr="0069177E">
        <w:rPr>
          <w:rFonts w:cs="Arial Mäori"/>
        </w:rPr>
        <w:t xml:space="preserve">Applications for Crown engagement under the Marine and Coastal Area (Takutai Moana) Act 2011 (the </w:t>
      </w:r>
      <w:r w:rsidRPr="0069177E">
        <w:rPr>
          <w:rFonts w:cs="Arial Mäori"/>
          <w:b/>
        </w:rPr>
        <w:t>Act</w:t>
      </w:r>
      <w:r w:rsidRPr="0069177E">
        <w:rPr>
          <w:rFonts w:cs="Arial Mäori"/>
        </w:rPr>
        <w:t xml:space="preserve">) are progressed in three phases: Pre-engagement, Determination and Finalisation. The engagement process is designed to be efficient, transparent and consistent across applicant groups. For more information on the engagement process, see: </w:t>
      </w:r>
      <w:hyperlink r:id="rId7" w:history="1">
        <w:r w:rsidRPr="0021751D">
          <w:rPr>
            <w:rStyle w:val="Hyperlink"/>
            <w:rFonts w:cs="Arial Mäori"/>
          </w:rPr>
          <w:t xml:space="preserve">process for Crown engagement under the Act. </w:t>
        </w:r>
      </w:hyperlink>
      <w:r w:rsidRPr="0069177E">
        <w:rPr>
          <w:rFonts w:cs="Arial Mäori"/>
        </w:rPr>
        <w:t xml:space="preserve"> </w:t>
      </w:r>
    </w:p>
    <w:p w:rsidR="003B035D" w:rsidRPr="0069177E" w:rsidRDefault="003B035D" w:rsidP="003B035D">
      <w:pPr>
        <w:pStyle w:val="NoSpacing"/>
        <w:spacing w:before="240" w:after="240" w:line="240" w:lineRule="auto"/>
        <w:jc w:val="both"/>
        <w:rPr>
          <w:rFonts w:eastAsia="Times New Roman" w:cs="Arial Mäori"/>
          <w:sz w:val="24"/>
          <w:szCs w:val="24"/>
          <w:lang w:eastAsia="en-NZ"/>
        </w:rPr>
      </w:pPr>
      <w:r w:rsidRPr="0069177E">
        <w:rPr>
          <w:rFonts w:eastAsia="Times New Roman" w:cs="Arial Mäori"/>
          <w:sz w:val="24"/>
          <w:szCs w:val="24"/>
          <w:lang w:eastAsia="en-NZ"/>
        </w:rPr>
        <w:t xml:space="preserve">After an application for customary interests has been received, and before the Minister for Treaty of Waitangi Negotiations (the </w:t>
      </w:r>
      <w:r w:rsidRPr="0069177E">
        <w:rPr>
          <w:rFonts w:eastAsia="Times New Roman" w:cs="Arial Mäori"/>
          <w:b/>
          <w:sz w:val="24"/>
          <w:szCs w:val="24"/>
          <w:lang w:eastAsia="en-NZ"/>
        </w:rPr>
        <w:t>Minister</w:t>
      </w:r>
      <w:r w:rsidRPr="0069177E">
        <w:rPr>
          <w:rFonts w:eastAsia="Times New Roman" w:cs="Arial Mäori"/>
          <w:sz w:val="24"/>
          <w:szCs w:val="24"/>
          <w:lang w:eastAsia="en-NZ"/>
        </w:rPr>
        <w:t>) decides to enter into the Determination phase, the Crown will invite the applicant group who made the application to seek a mandate from the iwi, hapū or whānau</w:t>
      </w:r>
      <w:r>
        <w:rPr>
          <w:rFonts w:eastAsia="Times New Roman" w:cs="Arial Mäori"/>
          <w:sz w:val="24"/>
          <w:szCs w:val="24"/>
          <w:lang w:eastAsia="en-NZ"/>
        </w:rPr>
        <w:t xml:space="preserve"> (</w:t>
      </w:r>
      <w:r w:rsidRPr="004F41D9">
        <w:rPr>
          <w:rFonts w:cs="Arial Mäori"/>
          <w:b/>
          <w:sz w:val="24"/>
          <w:szCs w:val="24"/>
          <w:lang w:eastAsia="en-NZ"/>
        </w:rPr>
        <w:t>applicant group</w:t>
      </w:r>
      <w:r>
        <w:rPr>
          <w:rFonts w:cs="Arial Mäori"/>
          <w:sz w:val="24"/>
          <w:szCs w:val="24"/>
          <w:lang w:eastAsia="en-NZ"/>
        </w:rPr>
        <w:t>)</w:t>
      </w:r>
      <w:r w:rsidRPr="0069177E">
        <w:rPr>
          <w:rFonts w:eastAsia="Times New Roman" w:cs="Arial Mäori"/>
          <w:sz w:val="24"/>
          <w:szCs w:val="24"/>
          <w:lang w:eastAsia="en-NZ"/>
        </w:rPr>
        <w:t xml:space="preserve"> on whose behalf the application was made. This is called a </w:t>
      </w:r>
      <w:proofErr w:type="spellStart"/>
      <w:r w:rsidR="0021751D">
        <w:rPr>
          <w:rFonts w:eastAsia="Times New Roman" w:cs="Arial Mäori"/>
          <w:sz w:val="24"/>
          <w:szCs w:val="24"/>
          <w:lang w:eastAsia="en-NZ"/>
        </w:rPr>
        <w:t>Takutai</w:t>
      </w:r>
      <w:proofErr w:type="spellEnd"/>
      <w:r w:rsidR="0021751D">
        <w:rPr>
          <w:rFonts w:eastAsia="Times New Roman" w:cs="Arial Mäori"/>
          <w:sz w:val="24"/>
          <w:szCs w:val="24"/>
          <w:lang w:eastAsia="en-NZ"/>
        </w:rPr>
        <w:t xml:space="preserve"> Moana</w:t>
      </w:r>
      <w:r w:rsidRPr="0069177E">
        <w:rPr>
          <w:rFonts w:eastAsia="Times New Roman" w:cs="Arial Mäori"/>
          <w:sz w:val="24"/>
          <w:szCs w:val="24"/>
          <w:lang w:eastAsia="en-NZ"/>
        </w:rPr>
        <w:t xml:space="preserve"> mandate. </w:t>
      </w:r>
    </w:p>
    <w:p w:rsidR="003B035D" w:rsidRPr="00D779DF" w:rsidRDefault="003B035D" w:rsidP="003B035D">
      <w:pPr>
        <w:pStyle w:val="Heading2"/>
        <w:spacing w:after="240"/>
        <w:jc w:val="both"/>
        <w:rPr>
          <w:rFonts w:ascii="Calibri" w:hAnsi="Calibri"/>
          <w:sz w:val="32"/>
          <w:szCs w:val="32"/>
        </w:rPr>
      </w:pPr>
      <w:r w:rsidRPr="00D779DF">
        <w:rPr>
          <w:rFonts w:ascii="Calibri" w:hAnsi="Calibri"/>
          <w:sz w:val="32"/>
          <w:szCs w:val="32"/>
        </w:rPr>
        <w:t xml:space="preserve">What is a </w:t>
      </w:r>
      <w:proofErr w:type="spellStart"/>
      <w:r w:rsidR="0077249C">
        <w:rPr>
          <w:rFonts w:ascii="Calibri" w:hAnsi="Calibri"/>
          <w:sz w:val="32"/>
          <w:szCs w:val="32"/>
        </w:rPr>
        <w:t>Takutai</w:t>
      </w:r>
      <w:proofErr w:type="spellEnd"/>
      <w:r w:rsidR="0077249C">
        <w:rPr>
          <w:rFonts w:ascii="Calibri" w:hAnsi="Calibri"/>
          <w:sz w:val="32"/>
          <w:szCs w:val="32"/>
        </w:rPr>
        <w:t xml:space="preserve"> Moana mandate</w:t>
      </w:r>
      <w:r w:rsidRPr="00D779DF">
        <w:rPr>
          <w:rFonts w:ascii="Calibri" w:hAnsi="Calibri"/>
          <w:sz w:val="32"/>
          <w:szCs w:val="32"/>
        </w:rPr>
        <w:t>?</w:t>
      </w:r>
    </w:p>
    <w:p w:rsidR="003B035D" w:rsidRPr="0069177E" w:rsidRDefault="003B035D" w:rsidP="003B035D">
      <w:pPr>
        <w:spacing w:before="240" w:after="240"/>
        <w:jc w:val="both"/>
        <w:rPr>
          <w:rFonts w:ascii="Calibri" w:hAnsi="Calibri" w:cs="Arial Mäori"/>
        </w:rPr>
      </w:pPr>
      <w:r w:rsidRPr="0069177E">
        <w:rPr>
          <w:rFonts w:ascii="Calibri" w:hAnsi="Calibri" w:cs="Arial Mäori"/>
        </w:rPr>
        <w:t xml:space="preserve">A </w:t>
      </w:r>
      <w:proofErr w:type="spellStart"/>
      <w:r w:rsidR="0077249C">
        <w:rPr>
          <w:rFonts w:ascii="Calibri" w:hAnsi="Calibri" w:cs="Arial Mäori"/>
        </w:rPr>
        <w:t>Takutai</w:t>
      </w:r>
      <w:proofErr w:type="spellEnd"/>
      <w:r w:rsidR="0077249C">
        <w:rPr>
          <w:rFonts w:ascii="Calibri" w:hAnsi="Calibri" w:cs="Arial Mäori"/>
        </w:rPr>
        <w:t xml:space="preserve"> Moana</w:t>
      </w:r>
      <w:r w:rsidRPr="0069177E">
        <w:rPr>
          <w:rFonts w:ascii="Calibri" w:hAnsi="Calibri" w:cs="Arial Mäori"/>
        </w:rPr>
        <w:t xml:space="preserve"> mandate is evidence that an applicant group has given a person or entity authority to represent them in the Crown engagement process under the Act.  The representative person or entity needs to demonstrate that they represent the applicant group, and the applicant group needs to be informed t</w:t>
      </w:r>
      <w:r w:rsidR="005D3F09">
        <w:rPr>
          <w:rFonts w:ascii="Calibri" w:hAnsi="Calibri" w:cs="Arial Mäori"/>
        </w:rPr>
        <w:t>hat t</w:t>
      </w:r>
      <w:r w:rsidRPr="0069177E">
        <w:rPr>
          <w:rFonts w:ascii="Calibri" w:hAnsi="Calibri" w:cs="Arial Mäori"/>
        </w:rPr>
        <w:t>he representative person or entity has legitimately gained the right to represent them.</w:t>
      </w:r>
    </w:p>
    <w:p w:rsidR="003B035D" w:rsidRPr="00D779DF" w:rsidRDefault="003B035D" w:rsidP="003B035D">
      <w:pPr>
        <w:pStyle w:val="Heading2"/>
        <w:spacing w:after="240"/>
        <w:jc w:val="both"/>
        <w:rPr>
          <w:rFonts w:ascii="Calibri" w:hAnsi="Calibri"/>
          <w:sz w:val="32"/>
          <w:szCs w:val="32"/>
        </w:rPr>
      </w:pPr>
      <w:r w:rsidRPr="00D779DF">
        <w:rPr>
          <w:rFonts w:ascii="Calibri" w:hAnsi="Calibri"/>
          <w:sz w:val="32"/>
          <w:szCs w:val="32"/>
        </w:rPr>
        <w:t xml:space="preserve">What does a </w:t>
      </w:r>
      <w:proofErr w:type="spellStart"/>
      <w:r w:rsidR="0077249C">
        <w:rPr>
          <w:rFonts w:ascii="Calibri" w:hAnsi="Calibri"/>
          <w:sz w:val="32"/>
          <w:szCs w:val="32"/>
        </w:rPr>
        <w:t>Takutai</w:t>
      </w:r>
      <w:proofErr w:type="spellEnd"/>
      <w:r w:rsidR="0077249C">
        <w:rPr>
          <w:rFonts w:ascii="Calibri" w:hAnsi="Calibri"/>
          <w:sz w:val="32"/>
          <w:szCs w:val="32"/>
        </w:rPr>
        <w:t xml:space="preserve"> Moana</w:t>
      </w:r>
      <w:r w:rsidRPr="00D779DF">
        <w:rPr>
          <w:rFonts w:ascii="Calibri" w:hAnsi="Calibri"/>
          <w:sz w:val="32"/>
          <w:szCs w:val="32"/>
        </w:rPr>
        <w:t xml:space="preserve"> mandate achieve? </w:t>
      </w:r>
    </w:p>
    <w:p w:rsidR="003B035D" w:rsidRPr="0069177E" w:rsidRDefault="003B035D" w:rsidP="003B035D">
      <w:pPr>
        <w:spacing w:before="240" w:after="240"/>
        <w:jc w:val="both"/>
        <w:rPr>
          <w:rFonts w:ascii="Calibri" w:hAnsi="Calibri" w:cs="Arial Mäori"/>
        </w:rPr>
      </w:pPr>
      <w:r w:rsidRPr="0069177E">
        <w:rPr>
          <w:rFonts w:ascii="Calibri" w:hAnsi="Calibri" w:cs="Arial Mäori"/>
        </w:rPr>
        <w:t xml:space="preserve">The objectives of a </w:t>
      </w:r>
      <w:proofErr w:type="spellStart"/>
      <w:r w:rsidR="0077249C">
        <w:rPr>
          <w:rFonts w:ascii="Calibri" w:hAnsi="Calibri" w:cs="Arial Mäori"/>
        </w:rPr>
        <w:t>Takutai</w:t>
      </w:r>
      <w:proofErr w:type="spellEnd"/>
      <w:r w:rsidR="0077249C">
        <w:rPr>
          <w:rFonts w:ascii="Calibri" w:hAnsi="Calibri" w:cs="Arial Mäori"/>
        </w:rPr>
        <w:t xml:space="preserve"> Moana</w:t>
      </w:r>
      <w:r w:rsidRPr="0069177E">
        <w:rPr>
          <w:rFonts w:ascii="Calibri" w:hAnsi="Calibri" w:cs="Arial Mäori"/>
        </w:rPr>
        <w:t xml:space="preserve"> mandate are to give the Crown assurances that:</w:t>
      </w:r>
    </w:p>
    <w:p w:rsidR="003B035D" w:rsidRPr="0069177E" w:rsidRDefault="003B035D" w:rsidP="003B035D">
      <w:pPr>
        <w:pStyle w:val="ListParagraph"/>
        <w:numPr>
          <w:ilvl w:val="0"/>
          <w:numId w:val="2"/>
        </w:numPr>
        <w:tabs>
          <w:tab w:val="left" w:pos="720"/>
        </w:tabs>
        <w:spacing w:before="240" w:after="240" w:line="240" w:lineRule="auto"/>
        <w:ind w:left="714" w:hanging="357"/>
        <w:rPr>
          <w:rFonts w:ascii="Calibri" w:hAnsi="Calibri" w:cs="Arial Mäori"/>
          <w:sz w:val="24"/>
          <w:szCs w:val="24"/>
          <w:lang w:eastAsia="en-NZ"/>
        </w:rPr>
      </w:pPr>
      <w:r w:rsidRPr="0069177E">
        <w:rPr>
          <w:rFonts w:ascii="Calibri" w:hAnsi="Calibri" w:cs="Arial Mäori"/>
          <w:sz w:val="24"/>
          <w:szCs w:val="24"/>
          <w:lang w:eastAsia="en-NZ"/>
        </w:rPr>
        <w:t>the representative person or entity have a mandate, from the iwi, hapū or whānau they purport to represent, to engage with the Crown for recognition of customary marine title and protected customary rights under section 95 of the Act</w:t>
      </w:r>
      <w:r>
        <w:rPr>
          <w:rFonts w:ascii="Calibri" w:hAnsi="Calibri" w:cs="Arial Mäori"/>
          <w:sz w:val="24"/>
          <w:szCs w:val="24"/>
          <w:lang w:eastAsia="en-NZ"/>
        </w:rPr>
        <w:t>;</w:t>
      </w:r>
    </w:p>
    <w:p w:rsidR="003B035D" w:rsidRPr="0069177E" w:rsidRDefault="003B035D" w:rsidP="003B035D">
      <w:pPr>
        <w:pStyle w:val="ListParagraph"/>
        <w:numPr>
          <w:ilvl w:val="0"/>
          <w:numId w:val="2"/>
        </w:numPr>
        <w:tabs>
          <w:tab w:val="left" w:pos="720"/>
        </w:tabs>
        <w:spacing w:before="240" w:after="240" w:line="240" w:lineRule="auto"/>
        <w:ind w:left="714" w:hanging="357"/>
        <w:rPr>
          <w:rFonts w:ascii="Calibri" w:hAnsi="Calibri" w:cs="Arial Mäori"/>
          <w:sz w:val="24"/>
          <w:szCs w:val="24"/>
          <w:lang w:eastAsia="en-NZ"/>
        </w:rPr>
      </w:pPr>
      <w:r w:rsidRPr="0069177E">
        <w:rPr>
          <w:rFonts w:ascii="Calibri" w:hAnsi="Calibri" w:cs="Arial Mäori"/>
          <w:sz w:val="24"/>
          <w:szCs w:val="24"/>
          <w:lang w:eastAsia="en-NZ"/>
        </w:rPr>
        <w:t>a fair, open and transparent process has been undertaken to secure that mandate; and</w:t>
      </w:r>
      <w:bookmarkStart w:id="0" w:name="_GoBack"/>
      <w:bookmarkEnd w:id="0"/>
    </w:p>
    <w:p w:rsidR="003B035D" w:rsidRPr="0069177E" w:rsidRDefault="003B035D" w:rsidP="003B035D">
      <w:pPr>
        <w:pStyle w:val="ListParagraph"/>
        <w:numPr>
          <w:ilvl w:val="0"/>
          <w:numId w:val="2"/>
        </w:numPr>
        <w:tabs>
          <w:tab w:val="left" w:pos="720"/>
        </w:tabs>
        <w:spacing w:before="240" w:after="240" w:line="240" w:lineRule="auto"/>
        <w:ind w:left="714" w:hanging="357"/>
        <w:rPr>
          <w:rFonts w:ascii="Calibri" w:hAnsi="Calibri" w:cs="Arial Mäori"/>
          <w:sz w:val="24"/>
          <w:szCs w:val="24"/>
          <w:lang w:eastAsia="en-NZ"/>
        </w:rPr>
      </w:pPr>
      <w:r w:rsidRPr="0069177E">
        <w:rPr>
          <w:rFonts w:ascii="Calibri" w:hAnsi="Calibri" w:cs="Arial Mäori"/>
          <w:sz w:val="24"/>
          <w:szCs w:val="24"/>
          <w:lang w:eastAsia="en-NZ"/>
        </w:rPr>
        <w:t xml:space="preserve">the mandated </w:t>
      </w:r>
      <w:r w:rsidRPr="004F41D9">
        <w:rPr>
          <w:rFonts w:ascii="Calibri" w:hAnsi="Calibri" w:cs="Arial Mäori"/>
          <w:sz w:val="24"/>
          <w:szCs w:val="24"/>
          <w:lang w:eastAsia="en-NZ"/>
        </w:rPr>
        <w:t>representative person or entity</w:t>
      </w:r>
      <w:r w:rsidRPr="0069177E" w:rsidDel="004F41D9">
        <w:rPr>
          <w:rFonts w:ascii="Calibri" w:hAnsi="Calibri" w:cs="Arial Mäori"/>
          <w:sz w:val="24"/>
          <w:szCs w:val="24"/>
          <w:lang w:eastAsia="en-NZ"/>
        </w:rPr>
        <w:t xml:space="preserve"> </w:t>
      </w:r>
      <w:r w:rsidRPr="0069177E">
        <w:rPr>
          <w:rFonts w:ascii="Calibri" w:hAnsi="Calibri" w:cs="Arial Mäori"/>
          <w:sz w:val="24"/>
          <w:szCs w:val="24"/>
          <w:lang w:eastAsia="en-NZ"/>
        </w:rPr>
        <w:t>will be accountable to the applicant group.</w:t>
      </w:r>
    </w:p>
    <w:p w:rsidR="003B035D" w:rsidRPr="0069177E" w:rsidRDefault="003B035D" w:rsidP="003B035D">
      <w:pPr>
        <w:spacing w:before="240" w:after="240"/>
        <w:jc w:val="both"/>
        <w:rPr>
          <w:rFonts w:ascii="Calibri" w:hAnsi="Calibri" w:cs="Arial Mäori"/>
        </w:rPr>
      </w:pPr>
      <w:r w:rsidRPr="0069177E">
        <w:rPr>
          <w:rFonts w:ascii="Calibri" w:hAnsi="Calibri" w:cs="Arial Mäori"/>
        </w:rPr>
        <w:t xml:space="preserve">If the Minister decides to enter into formal engagement with an applicant group, the </w:t>
      </w:r>
      <w:proofErr w:type="spellStart"/>
      <w:r w:rsidR="0077249C">
        <w:rPr>
          <w:rFonts w:ascii="Calibri" w:hAnsi="Calibri" w:cs="Arial Mäori"/>
        </w:rPr>
        <w:t>Takutai</w:t>
      </w:r>
      <w:proofErr w:type="spellEnd"/>
      <w:r w:rsidR="0077249C">
        <w:rPr>
          <w:rFonts w:ascii="Calibri" w:hAnsi="Calibri" w:cs="Arial Mäori"/>
        </w:rPr>
        <w:t xml:space="preserve"> Moana </w:t>
      </w:r>
      <w:proofErr w:type="spellStart"/>
      <w:r w:rsidR="0077249C">
        <w:rPr>
          <w:rFonts w:ascii="Calibri" w:hAnsi="Calibri" w:cs="Arial Mäori"/>
        </w:rPr>
        <w:t>Rōpū</w:t>
      </w:r>
      <w:proofErr w:type="spellEnd"/>
      <w:r w:rsidR="005D3F09">
        <w:rPr>
          <w:rFonts w:ascii="Calibri" w:hAnsi="Calibri" w:cs="Arial Mäori"/>
        </w:rPr>
        <w:t xml:space="preserve"> team will develop</w:t>
      </w:r>
      <w:r w:rsidRPr="0069177E">
        <w:rPr>
          <w:rFonts w:ascii="Calibri" w:hAnsi="Calibri" w:cs="Arial Mäori"/>
        </w:rPr>
        <w:t xml:space="preserve"> terms of engagement with the mandated representative.</w:t>
      </w:r>
    </w:p>
    <w:p w:rsidR="003B035D" w:rsidRPr="00D779DF" w:rsidRDefault="003B035D" w:rsidP="003B035D">
      <w:pPr>
        <w:pStyle w:val="Heading2"/>
        <w:spacing w:after="240"/>
        <w:jc w:val="both"/>
        <w:rPr>
          <w:rFonts w:ascii="Calibri" w:hAnsi="Calibri"/>
          <w:sz w:val="32"/>
          <w:szCs w:val="32"/>
        </w:rPr>
      </w:pPr>
      <w:r w:rsidRPr="00D779DF">
        <w:rPr>
          <w:rFonts w:ascii="Calibri" w:hAnsi="Calibri"/>
          <w:sz w:val="32"/>
          <w:szCs w:val="32"/>
        </w:rPr>
        <w:t xml:space="preserve">How is a </w:t>
      </w:r>
      <w:proofErr w:type="spellStart"/>
      <w:r w:rsidR="0077249C">
        <w:rPr>
          <w:rFonts w:ascii="Calibri" w:hAnsi="Calibri"/>
          <w:sz w:val="32"/>
          <w:szCs w:val="32"/>
        </w:rPr>
        <w:t>Takutai</w:t>
      </w:r>
      <w:proofErr w:type="spellEnd"/>
      <w:r w:rsidR="0077249C">
        <w:rPr>
          <w:rFonts w:ascii="Calibri" w:hAnsi="Calibri"/>
          <w:sz w:val="32"/>
          <w:szCs w:val="32"/>
        </w:rPr>
        <w:t xml:space="preserve"> Moana</w:t>
      </w:r>
      <w:r w:rsidRPr="00D779DF">
        <w:rPr>
          <w:rFonts w:ascii="Calibri" w:hAnsi="Calibri"/>
          <w:sz w:val="32"/>
          <w:szCs w:val="32"/>
        </w:rPr>
        <w:t xml:space="preserve"> mandate obtained?</w:t>
      </w:r>
    </w:p>
    <w:p w:rsidR="003B035D" w:rsidRPr="0069177E" w:rsidRDefault="003B035D" w:rsidP="003B035D">
      <w:pPr>
        <w:spacing w:before="240" w:after="240"/>
        <w:jc w:val="both"/>
        <w:rPr>
          <w:rFonts w:ascii="Calibri" w:hAnsi="Calibri" w:cs="Arial Mäori"/>
        </w:rPr>
      </w:pPr>
      <w:r w:rsidRPr="0069177E">
        <w:rPr>
          <w:rFonts w:ascii="Calibri" w:hAnsi="Calibri" w:cs="Arial Mäori"/>
        </w:rPr>
        <w:t xml:space="preserve">Tikanga, circumstances and the size of the </w:t>
      </w:r>
      <w:r>
        <w:rPr>
          <w:rFonts w:ascii="Calibri" w:hAnsi="Calibri" w:cs="Arial Mäori"/>
        </w:rPr>
        <w:t>applicant group</w:t>
      </w:r>
      <w:r w:rsidRPr="0069177E">
        <w:rPr>
          <w:rFonts w:ascii="Calibri" w:hAnsi="Calibri" w:cs="Arial Mäori"/>
        </w:rPr>
        <w:t xml:space="preserve"> will determine the exact </w:t>
      </w:r>
      <w:proofErr w:type="spellStart"/>
      <w:r w:rsidR="0077249C">
        <w:rPr>
          <w:rFonts w:ascii="Calibri" w:hAnsi="Calibri" w:cs="Arial Mäori"/>
        </w:rPr>
        <w:t>Takutai</w:t>
      </w:r>
      <w:proofErr w:type="spellEnd"/>
      <w:r w:rsidR="0077249C">
        <w:rPr>
          <w:rFonts w:ascii="Calibri" w:hAnsi="Calibri" w:cs="Arial Mäori"/>
        </w:rPr>
        <w:t xml:space="preserve"> Moana</w:t>
      </w:r>
      <w:r w:rsidRPr="0069177E">
        <w:rPr>
          <w:rFonts w:ascii="Calibri" w:hAnsi="Calibri" w:cs="Arial Mäori"/>
        </w:rPr>
        <w:t xml:space="preserve"> mandate process for each applicant </w:t>
      </w:r>
      <w:r w:rsidR="0077249C">
        <w:rPr>
          <w:rFonts w:ascii="Calibri" w:hAnsi="Calibri" w:cs="Arial Mäori"/>
        </w:rPr>
        <w:t xml:space="preserve">group.  For a </w:t>
      </w:r>
      <w:proofErr w:type="spellStart"/>
      <w:r w:rsidR="0077249C">
        <w:rPr>
          <w:rFonts w:ascii="Calibri" w:hAnsi="Calibri" w:cs="Arial Mäori"/>
        </w:rPr>
        <w:t>Takutai</w:t>
      </w:r>
      <w:proofErr w:type="spellEnd"/>
      <w:r w:rsidR="0077249C">
        <w:rPr>
          <w:rFonts w:ascii="Calibri" w:hAnsi="Calibri" w:cs="Arial Mäori"/>
        </w:rPr>
        <w:t xml:space="preserve"> Moana</w:t>
      </w:r>
      <w:r w:rsidRPr="0069177E">
        <w:rPr>
          <w:rFonts w:ascii="Calibri" w:hAnsi="Calibri" w:cs="Arial Mäori"/>
        </w:rPr>
        <w:t xml:space="preserve"> mandate to be </w:t>
      </w:r>
      <w:r w:rsidRPr="0069177E">
        <w:rPr>
          <w:rFonts w:ascii="Calibri" w:hAnsi="Calibri" w:cs="Arial Mäori"/>
        </w:rPr>
        <w:lastRenderedPageBreak/>
        <w:t xml:space="preserve">recognised, the Minister and the Minister for Māori </w:t>
      </w:r>
      <w:r w:rsidR="00BE09E8">
        <w:rPr>
          <w:rFonts w:ascii="Calibri" w:hAnsi="Calibri" w:cs="Arial Mäori"/>
        </w:rPr>
        <w:t>Development</w:t>
      </w:r>
      <w:r w:rsidRPr="0069177E">
        <w:rPr>
          <w:rFonts w:ascii="Calibri" w:hAnsi="Calibri" w:cs="Arial Mäori"/>
        </w:rPr>
        <w:t xml:space="preserve"> will consider whether a </w:t>
      </w:r>
      <w:proofErr w:type="spellStart"/>
      <w:r w:rsidR="008D59EA">
        <w:rPr>
          <w:rFonts w:ascii="Calibri" w:hAnsi="Calibri" w:cs="Arial Mäori"/>
        </w:rPr>
        <w:t>Takutai</w:t>
      </w:r>
      <w:proofErr w:type="spellEnd"/>
      <w:r w:rsidR="008D59EA">
        <w:rPr>
          <w:rFonts w:ascii="Calibri" w:hAnsi="Calibri" w:cs="Arial Mäori"/>
        </w:rPr>
        <w:t xml:space="preserve"> Moana</w:t>
      </w:r>
      <w:r w:rsidR="008D59EA" w:rsidRPr="0069177E">
        <w:rPr>
          <w:rFonts w:ascii="Calibri" w:hAnsi="Calibri" w:cs="Arial Mäori"/>
        </w:rPr>
        <w:t xml:space="preserve"> </w:t>
      </w:r>
      <w:r w:rsidRPr="0069177E">
        <w:rPr>
          <w:rFonts w:ascii="Calibri" w:hAnsi="Calibri" w:cs="Arial Mäori"/>
        </w:rPr>
        <w:t>mandate process:</w:t>
      </w:r>
    </w:p>
    <w:p w:rsidR="003B035D" w:rsidRPr="0069177E" w:rsidRDefault="003B035D" w:rsidP="003B035D">
      <w:pPr>
        <w:numPr>
          <w:ilvl w:val="0"/>
          <w:numId w:val="4"/>
        </w:numPr>
        <w:spacing w:before="240" w:after="240"/>
        <w:jc w:val="both"/>
        <w:rPr>
          <w:rFonts w:ascii="Calibri" w:hAnsi="Calibri" w:cs="Arial Mäori"/>
        </w:rPr>
      </w:pPr>
      <w:r w:rsidRPr="0069177E">
        <w:rPr>
          <w:rFonts w:ascii="Calibri" w:hAnsi="Calibri" w:cs="Arial Mäori"/>
        </w:rPr>
        <w:t>was fair, open and transparent;</w:t>
      </w:r>
    </w:p>
    <w:p w:rsidR="003B035D" w:rsidRPr="0069177E" w:rsidRDefault="003B035D" w:rsidP="003B035D">
      <w:pPr>
        <w:pStyle w:val="ListParagraph"/>
        <w:numPr>
          <w:ilvl w:val="0"/>
          <w:numId w:val="2"/>
        </w:numPr>
        <w:tabs>
          <w:tab w:val="left" w:pos="720"/>
        </w:tabs>
        <w:spacing w:before="240" w:after="240" w:line="240" w:lineRule="auto"/>
        <w:ind w:left="714" w:hanging="357"/>
        <w:rPr>
          <w:rFonts w:ascii="Calibri" w:hAnsi="Calibri" w:cs="Arial Mäori"/>
          <w:sz w:val="24"/>
          <w:szCs w:val="24"/>
          <w:lang w:eastAsia="en-NZ"/>
        </w:rPr>
      </w:pPr>
      <w:r w:rsidRPr="0069177E">
        <w:rPr>
          <w:rFonts w:ascii="Calibri" w:hAnsi="Calibri" w:cs="Arial Mäori"/>
          <w:sz w:val="24"/>
          <w:szCs w:val="24"/>
          <w:lang w:eastAsia="en-NZ"/>
        </w:rPr>
        <w:t xml:space="preserve">provided enough public notice to members that a </w:t>
      </w:r>
      <w:proofErr w:type="spellStart"/>
      <w:r w:rsidR="00FF2942">
        <w:rPr>
          <w:rFonts w:ascii="Calibri" w:hAnsi="Calibri" w:cs="Arial Mäori"/>
          <w:sz w:val="24"/>
          <w:szCs w:val="24"/>
          <w:lang w:eastAsia="en-NZ"/>
        </w:rPr>
        <w:t>Takutai</w:t>
      </w:r>
      <w:proofErr w:type="spellEnd"/>
      <w:r w:rsidR="00FF2942">
        <w:rPr>
          <w:rFonts w:ascii="Calibri" w:hAnsi="Calibri" w:cs="Arial Mäori"/>
          <w:sz w:val="24"/>
          <w:szCs w:val="24"/>
          <w:lang w:eastAsia="en-NZ"/>
        </w:rPr>
        <w:t xml:space="preserve"> Moana</w:t>
      </w:r>
      <w:r w:rsidRPr="0069177E">
        <w:rPr>
          <w:rFonts w:ascii="Calibri" w:hAnsi="Calibri" w:cs="Arial Mäori"/>
          <w:sz w:val="24"/>
          <w:szCs w:val="24"/>
          <w:lang w:eastAsia="en-NZ"/>
        </w:rPr>
        <w:t xml:space="preserve"> mandate was being sought; </w:t>
      </w:r>
    </w:p>
    <w:p w:rsidR="003B035D" w:rsidRPr="0069177E" w:rsidRDefault="003B035D" w:rsidP="003B035D">
      <w:pPr>
        <w:pStyle w:val="ListParagraph"/>
        <w:numPr>
          <w:ilvl w:val="0"/>
          <w:numId w:val="2"/>
        </w:numPr>
        <w:tabs>
          <w:tab w:val="left" w:pos="720"/>
        </w:tabs>
        <w:spacing w:before="240" w:after="240" w:line="240" w:lineRule="auto"/>
        <w:ind w:left="714" w:hanging="357"/>
        <w:rPr>
          <w:rFonts w:ascii="Calibri" w:hAnsi="Calibri" w:cs="Arial Mäori"/>
          <w:sz w:val="24"/>
          <w:szCs w:val="24"/>
          <w:lang w:eastAsia="en-NZ"/>
        </w:rPr>
      </w:pPr>
      <w:r w:rsidRPr="0069177E">
        <w:rPr>
          <w:rFonts w:ascii="Calibri" w:hAnsi="Calibri" w:cs="Arial Mäori"/>
          <w:sz w:val="24"/>
          <w:szCs w:val="24"/>
          <w:lang w:eastAsia="en-NZ"/>
        </w:rPr>
        <w:t xml:space="preserve">provided enough information to members about the purpose of the </w:t>
      </w:r>
      <w:proofErr w:type="spellStart"/>
      <w:r w:rsidR="00FF2942">
        <w:rPr>
          <w:rFonts w:ascii="Calibri" w:hAnsi="Calibri" w:cs="Arial Mäori"/>
          <w:sz w:val="24"/>
          <w:szCs w:val="24"/>
          <w:lang w:eastAsia="en-NZ"/>
        </w:rPr>
        <w:t>Takutai</w:t>
      </w:r>
      <w:proofErr w:type="spellEnd"/>
      <w:r w:rsidR="00FF2942">
        <w:rPr>
          <w:rFonts w:ascii="Calibri" w:hAnsi="Calibri" w:cs="Arial Mäori"/>
          <w:sz w:val="24"/>
          <w:szCs w:val="24"/>
          <w:lang w:eastAsia="en-NZ"/>
        </w:rPr>
        <w:t xml:space="preserve"> Moana</w:t>
      </w:r>
      <w:r w:rsidRPr="0069177E">
        <w:rPr>
          <w:rFonts w:ascii="Calibri" w:hAnsi="Calibri" w:cs="Arial Mäori"/>
          <w:sz w:val="24"/>
          <w:szCs w:val="24"/>
          <w:lang w:eastAsia="en-NZ"/>
        </w:rPr>
        <w:t xml:space="preserve"> mandate;</w:t>
      </w:r>
    </w:p>
    <w:p w:rsidR="003B035D" w:rsidRPr="0069177E" w:rsidRDefault="003B035D" w:rsidP="003B035D">
      <w:pPr>
        <w:pStyle w:val="ListParagraph"/>
        <w:numPr>
          <w:ilvl w:val="0"/>
          <w:numId w:val="3"/>
        </w:numPr>
        <w:tabs>
          <w:tab w:val="left" w:pos="720"/>
        </w:tabs>
        <w:spacing w:before="240" w:after="240" w:line="240" w:lineRule="auto"/>
        <w:rPr>
          <w:rFonts w:ascii="Calibri" w:hAnsi="Calibri" w:cs="Arial Mäori"/>
          <w:sz w:val="24"/>
          <w:szCs w:val="24"/>
          <w:lang w:eastAsia="en-NZ"/>
        </w:rPr>
      </w:pPr>
      <w:r w:rsidRPr="0069177E">
        <w:rPr>
          <w:rFonts w:ascii="Calibri" w:hAnsi="Calibri" w:cs="Arial Mäori"/>
          <w:sz w:val="24"/>
          <w:szCs w:val="24"/>
          <w:lang w:eastAsia="en-NZ"/>
        </w:rPr>
        <w:t>provided for the applicant group to vote or otherwise demonstrate support for the proposed mandate; and</w:t>
      </w:r>
    </w:p>
    <w:p w:rsidR="003B035D" w:rsidRPr="0069177E" w:rsidRDefault="003B035D" w:rsidP="003B035D">
      <w:pPr>
        <w:pStyle w:val="ListParagraph"/>
        <w:numPr>
          <w:ilvl w:val="0"/>
          <w:numId w:val="3"/>
        </w:numPr>
        <w:tabs>
          <w:tab w:val="left" w:pos="720"/>
        </w:tabs>
        <w:spacing w:before="240" w:after="240" w:line="240" w:lineRule="auto"/>
        <w:rPr>
          <w:rFonts w:ascii="Calibri" w:hAnsi="Calibri" w:cs="Arial Mäori"/>
          <w:sz w:val="24"/>
          <w:szCs w:val="24"/>
          <w:lang w:eastAsia="en-NZ"/>
        </w:rPr>
      </w:pPr>
      <w:r w:rsidRPr="0069177E">
        <w:rPr>
          <w:rFonts w:ascii="Calibri" w:hAnsi="Calibri" w:cs="Arial Mäori"/>
          <w:sz w:val="24"/>
          <w:szCs w:val="24"/>
          <w:lang w:eastAsia="en-NZ"/>
        </w:rPr>
        <w:t>demonstrates that the applicant group supports the proposed mandate.</w:t>
      </w:r>
    </w:p>
    <w:p w:rsidR="003B035D" w:rsidRPr="0069177E" w:rsidRDefault="003B035D" w:rsidP="003B035D">
      <w:pPr>
        <w:pStyle w:val="ListParagraph"/>
        <w:numPr>
          <w:ilvl w:val="0"/>
          <w:numId w:val="0"/>
        </w:numPr>
        <w:tabs>
          <w:tab w:val="left" w:pos="720"/>
        </w:tabs>
        <w:spacing w:before="240" w:after="240" w:line="240" w:lineRule="auto"/>
        <w:rPr>
          <w:rFonts w:ascii="Calibri" w:hAnsi="Calibri" w:cs="Arial Mäori"/>
          <w:sz w:val="24"/>
          <w:szCs w:val="24"/>
          <w:lang w:eastAsia="en-NZ"/>
        </w:rPr>
      </w:pPr>
      <w:r w:rsidRPr="0069177E">
        <w:rPr>
          <w:rFonts w:ascii="Calibri" w:hAnsi="Calibri" w:cs="Arial Mäori"/>
          <w:sz w:val="24"/>
          <w:szCs w:val="24"/>
          <w:lang w:eastAsia="en-NZ"/>
        </w:rPr>
        <w:t xml:space="preserve">If approved, the Minister and the Minister </w:t>
      </w:r>
      <w:r w:rsidR="00BE09E8">
        <w:rPr>
          <w:rFonts w:ascii="Calibri" w:hAnsi="Calibri" w:cs="Arial Mäori"/>
          <w:sz w:val="24"/>
          <w:szCs w:val="24"/>
          <w:lang w:eastAsia="en-NZ"/>
        </w:rPr>
        <w:t>for</w:t>
      </w:r>
      <w:r w:rsidRPr="0069177E">
        <w:rPr>
          <w:rFonts w:ascii="Calibri" w:hAnsi="Calibri" w:cs="Arial Mäori"/>
          <w:sz w:val="24"/>
          <w:szCs w:val="24"/>
          <w:lang w:eastAsia="en-NZ"/>
        </w:rPr>
        <w:t xml:space="preserve"> Māori Development will provide written confirmation of the </w:t>
      </w:r>
      <w:proofErr w:type="spellStart"/>
      <w:r w:rsidR="00FF2942">
        <w:rPr>
          <w:rFonts w:ascii="Calibri" w:hAnsi="Calibri" w:cs="Arial Mäori"/>
          <w:sz w:val="24"/>
          <w:szCs w:val="24"/>
          <w:lang w:eastAsia="en-NZ"/>
        </w:rPr>
        <w:t>Takutai</w:t>
      </w:r>
      <w:proofErr w:type="spellEnd"/>
      <w:r w:rsidR="00FF2942">
        <w:rPr>
          <w:rFonts w:ascii="Calibri" w:hAnsi="Calibri" w:cs="Arial Mäori"/>
          <w:sz w:val="24"/>
          <w:szCs w:val="24"/>
          <w:lang w:eastAsia="en-NZ"/>
        </w:rPr>
        <w:t xml:space="preserve"> Moana</w:t>
      </w:r>
      <w:r w:rsidRPr="0069177E">
        <w:rPr>
          <w:rFonts w:ascii="Calibri" w:hAnsi="Calibri" w:cs="Arial Mäori"/>
          <w:sz w:val="24"/>
          <w:szCs w:val="24"/>
          <w:lang w:eastAsia="en-NZ"/>
        </w:rPr>
        <w:t xml:space="preserve"> mandate.  The mandated </w:t>
      </w:r>
      <w:r w:rsidRPr="004F41D9">
        <w:rPr>
          <w:rFonts w:ascii="Calibri" w:hAnsi="Calibri" w:cs="Arial Mäori"/>
          <w:sz w:val="24"/>
          <w:szCs w:val="24"/>
          <w:lang w:eastAsia="en-NZ"/>
        </w:rPr>
        <w:t>representative person or entity</w:t>
      </w:r>
      <w:r w:rsidRPr="0069177E">
        <w:rPr>
          <w:rFonts w:ascii="Calibri" w:hAnsi="Calibri" w:cs="Arial Mäori"/>
          <w:sz w:val="24"/>
          <w:szCs w:val="24"/>
          <w:lang w:eastAsia="en-NZ"/>
        </w:rPr>
        <w:t xml:space="preserve"> will be required to provide evidence to prove ongoing support from the applicant group.</w:t>
      </w:r>
    </w:p>
    <w:p w:rsidR="003B035D" w:rsidRPr="00D779DF" w:rsidRDefault="003B035D" w:rsidP="003B035D">
      <w:pPr>
        <w:pStyle w:val="Heading2"/>
        <w:spacing w:after="240"/>
        <w:jc w:val="both"/>
        <w:rPr>
          <w:rFonts w:ascii="Calibri" w:hAnsi="Calibri"/>
          <w:sz w:val="32"/>
          <w:szCs w:val="32"/>
        </w:rPr>
      </w:pPr>
      <w:r w:rsidRPr="00D779DF">
        <w:rPr>
          <w:rFonts w:ascii="Calibri" w:hAnsi="Calibri"/>
          <w:sz w:val="32"/>
          <w:szCs w:val="32"/>
        </w:rPr>
        <w:t>What funding is available to applicant groups?</w:t>
      </w:r>
    </w:p>
    <w:p w:rsidR="003B035D" w:rsidRPr="0069177E" w:rsidRDefault="003B035D" w:rsidP="003B035D">
      <w:pPr>
        <w:pStyle w:val="ListParagraph"/>
        <w:numPr>
          <w:ilvl w:val="0"/>
          <w:numId w:val="0"/>
        </w:numPr>
        <w:tabs>
          <w:tab w:val="left" w:pos="720"/>
        </w:tabs>
        <w:spacing w:before="240" w:after="240" w:line="240" w:lineRule="auto"/>
        <w:rPr>
          <w:rFonts w:ascii="Calibri" w:hAnsi="Calibri" w:cs="Arial Mäori"/>
          <w:sz w:val="24"/>
          <w:szCs w:val="24"/>
          <w:lang w:eastAsia="en-NZ"/>
        </w:rPr>
      </w:pPr>
      <w:r w:rsidRPr="0069177E">
        <w:rPr>
          <w:rFonts w:ascii="Calibri" w:hAnsi="Calibri" w:cs="Arial Mäori"/>
          <w:sz w:val="24"/>
          <w:szCs w:val="24"/>
          <w:lang w:eastAsia="en-NZ"/>
        </w:rPr>
        <w:t xml:space="preserve">A Crown contribution to applicant groups for engagement with the Crown, including mandating costs, is available subject to certain terms and conditions. This contribution is managed by the representative entity on behalf of the applicant group. The onus is on the representative entity to be accountable to its applicant group. </w:t>
      </w:r>
    </w:p>
    <w:p w:rsidR="003B035D" w:rsidRPr="00D779DF" w:rsidRDefault="003B035D" w:rsidP="003B035D">
      <w:pPr>
        <w:pStyle w:val="Heading2"/>
        <w:spacing w:after="240"/>
        <w:rPr>
          <w:rFonts w:ascii="Calibri" w:hAnsi="Calibri"/>
          <w:sz w:val="32"/>
          <w:szCs w:val="32"/>
        </w:rPr>
      </w:pPr>
      <w:r w:rsidRPr="00D779DF">
        <w:rPr>
          <w:rFonts w:ascii="Calibri" w:hAnsi="Calibri"/>
          <w:sz w:val="32"/>
          <w:szCs w:val="32"/>
        </w:rPr>
        <w:t xml:space="preserve">What role does </w:t>
      </w:r>
      <w:proofErr w:type="spellStart"/>
      <w:r w:rsidR="00FF2942">
        <w:rPr>
          <w:rFonts w:ascii="Calibri" w:hAnsi="Calibri"/>
          <w:sz w:val="32"/>
          <w:szCs w:val="32"/>
        </w:rPr>
        <w:t>Te</w:t>
      </w:r>
      <w:proofErr w:type="spellEnd"/>
      <w:r w:rsidR="00FF2942">
        <w:rPr>
          <w:rFonts w:ascii="Calibri" w:hAnsi="Calibri"/>
          <w:sz w:val="32"/>
          <w:szCs w:val="32"/>
        </w:rPr>
        <w:t xml:space="preserve"> </w:t>
      </w:r>
      <w:proofErr w:type="spellStart"/>
      <w:r w:rsidR="00FF2942">
        <w:rPr>
          <w:rFonts w:ascii="Calibri" w:hAnsi="Calibri"/>
          <w:sz w:val="32"/>
          <w:szCs w:val="32"/>
        </w:rPr>
        <w:t>Arawhiti</w:t>
      </w:r>
      <w:proofErr w:type="spellEnd"/>
      <w:r w:rsidRPr="00D779DF">
        <w:rPr>
          <w:rFonts w:ascii="Calibri" w:hAnsi="Calibri"/>
          <w:sz w:val="32"/>
          <w:szCs w:val="32"/>
        </w:rPr>
        <w:t xml:space="preserve"> play in the </w:t>
      </w:r>
      <w:proofErr w:type="spellStart"/>
      <w:r w:rsidR="00FF2942">
        <w:rPr>
          <w:rFonts w:ascii="Calibri" w:hAnsi="Calibri"/>
          <w:sz w:val="32"/>
          <w:szCs w:val="32"/>
        </w:rPr>
        <w:t>Takutai</w:t>
      </w:r>
      <w:proofErr w:type="spellEnd"/>
      <w:r w:rsidR="00FF2942">
        <w:rPr>
          <w:rFonts w:ascii="Calibri" w:hAnsi="Calibri"/>
          <w:sz w:val="32"/>
          <w:szCs w:val="32"/>
        </w:rPr>
        <w:t xml:space="preserve"> Moana</w:t>
      </w:r>
      <w:r w:rsidRPr="00D779DF">
        <w:rPr>
          <w:rFonts w:ascii="Calibri" w:hAnsi="Calibri"/>
          <w:sz w:val="32"/>
          <w:szCs w:val="32"/>
        </w:rPr>
        <w:t xml:space="preserve"> mandate process</w:t>
      </w:r>
    </w:p>
    <w:p w:rsidR="00F510F5" w:rsidRDefault="00FF2942" w:rsidP="003B035D">
      <w:proofErr w:type="spellStart"/>
      <w:r>
        <w:rPr>
          <w:rFonts w:ascii="Calibri" w:hAnsi="Calibri" w:cs="Arial Mäori"/>
        </w:rPr>
        <w:t>Te</w:t>
      </w:r>
      <w:proofErr w:type="spellEnd"/>
      <w:r>
        <w:rPr>
          <w:rFonts w:ascii="Calibri" w:hAnsi="Calibri" w:cs="Arial Mäori"/>
        </w:rPr>
        <w:t xml:space="preserve"> </w:t>
      </w:r>
      <w:proofErr w:type="spellStart"/>
      <w:r>
        <w:rPr>
          <w:rFonts w:ascii="Calibri" w:hAnsi="Calibri" w:cs="Arial Mäori"/>
        </w:rPr>
        <w:t>Arawhiti</w:t>
      </w:r>
      <w:proofErr w:type="spellEnd"/>
      <w:r w:rsidR="003B035D" w:rsidRPr="0069177E">
        <w:rPr>
          <w:rFonts w:ascii="Calibri" w:hAnsi="Calibri" w:cs="Arial Mäori"/>
        </w:rPr>
        <w:t xml:space="preserve"> will work with applicant groups who need a </w:t>
      </w:r>
      <w:proofErr w:type="spellStart"/>
      <w:r>
        <w:rPr>
          <w:rFonts w:ascii="Calibri" w:hAnsi="Calibri" w:cs="Arial Mäori"/>
        </w:rPr>
        <w:t>Takutai</w:t>
      </w:r>
      <w:proofErr w:type="spellEnd"/>
      <w:r>
        <w:rPr>
          <w:rFonts w:ascii="Calibri" w:hAnsi="Calibri" w:cs="Arial Mäori"/>
        </w:rPr>
        <w:t xml:space="preserve"> Moana</w:t>
      </w:r>
      <w:r w:rsidR="003B035D" w:rsidRPr="0069177E">
        <w:rPr>
          <w:rFonts w:ascii="Calibri" w:hAnsi="Calibri" w:cs="Arial Mäori"/>
        </w:rPr>
        <w:t xml:space="preserve"> mandate. If you have an enquiry related to a </w:t>
      </w:r>
      <w:proofErr w:type="spellStart"/>
      <w:r>
        <w:rPr>
          <w:rFonts w:ascii="Calibri" w:hAnsi="Calibri" w:cs="Arial Mäori"/>
        </w:rPr>
        <w:t>Takutai</w:t>
      </w:r>
      <w:proofErr w:type="spellEnd"/>
      <w:r>
        <w:rPr>
          <w:rFonts w:ascii="Calibri" w:hAnsi="Calibri" w:cs="Arial Mäori"/>
        </w:rPr>
        <w:t xml:space="preserve"> Moana</w:t>
      </w:r>
      <w:r w:rsidR="003B035D" w:rsidRPr="0069177E">
        <w:rPr>
          <w:rFonts w:ascii="Calibri" w:hAnsi="Calibri" w:cs="Arial Mäori"/>
        </w:rPr>
        <w:t xml:space="preserve"> mandate you can contact the </w:t>
      </w:r>
      <w:proofErr w:type="spellStart"/>
      <w:r>
        <w:rPr>
          <w:rFonts w:ascii="Calibri" w:hAnsi="Calibri" w:cs="Arial Mäori"/>
        </w:rPr>
        <w:t>Takutai</w:t>
      </w:r>
      <w:proofErr w:type="spellEnd"/>
      <w:r>
        <w:rPr>
          <w:rFonts w:ascii="Calibri" w:hAnsi="Calibri" w:cs="Arial Mäori"/>
        </w:rPr>
        <w:t xml:space="preserve"> Moana</w:t>
      </w:r>
      <w:r w:rsidR="003B035D" w:rsidRPr="0069177E">
        <w:rPr>
          <w:rFonts w:ascii="Calibri" w:hAnsi="Calibri" w:cs="Arial Mäori"/>
        </w:rPr>
        <w:t xml:space="preserve"> </w:t>
      </w:r>
      <w:proofErr w:type="spellStart"/>
      <w:r w:rsidR="00EF6EFC">
        <w:rPr>
          <w:rFonts w:ascii="Calibri" w:hAnsi="Calibri" w:cs="Arial Mäori"/>
        </w:rPr>
        <w:t>Rōpū</w:t>
      </w:r>
      <w:proofErr w:type="spellEnd"/>
      <w:r w:rsidR="00EF6EFC" w:rsidRPr="0069177E">
        <w:rPr>
          <w:rFonts w:ascii="Calibri" w:hAnsi="Calibri" w:cs="Arial Mäori"/>
        </w:rPr>
        <w:t xml:space="preserve"> </w:t>
      </w:r>
      <w:r w:rsidR="003B035D" w:rsidRPr="0069177E">
        <w:rPr>
          <w:rFonts w:ascii="Calibri" w:hAnsi="Calibri" w:cs="Arial Mäori"/>
        </w:rPr>
        <w:t xml:space="preserve">at </w:t>
      </w:r>
      <w:proofErr w:type="spellStart"/>
      <w:r>
        <w:rPr>
          <w:rFonts w:ascii="Calibri" w:hAnsi="Calibri" w:cs="Arial Mäori"/>
        </w:rPr>
        <w:t>Te</w:t>
      </w:r>
      <w:proofErr w:type="spellEnd"/>
      <w:r>
        <w:rPr>
          <w:rFonts w:ascii="Calibri" w:hAnsi="Calibri" w:cs="Arial Mäori"/>
        </w:rPr>
        <w:t xml:space="preserve"> </w:t>
      </w:r>
      <w:proofErr w:type="spellStart"/>
      <w:r>
        <w:rPr>
          <w:rFonts w:ascii="Calibri" w:hAnsi="Calibri" w:cs="Arial Mäori"/>
        </w:rPr>
        <w:t>Arawhiti</w:t>
      </w:r>
      <w:proofErr w:type="spellEnd"/>
      <w:r w:rsidR="003B035D" w:rsidRPr="0069177E">
        <w:rPr>
          <w:rFonts w:ascii="Calibri" w:hAnsi="Calibri" w:cs="Arial Mäori"/>
        </w:rPr>
        <w:t xml:space="preserve"> through: </w:t>
      </w:r>
      <w:r w:rsidR="003B035D" w:rsidRPr="00FF2942">
        <w:rPr>
          <w:rFonts w:ascii="Calibri" w:hAnsi="Calibri" w:cs="Arial Mäori"/>
        </w:rPr>
        <w:t>maca@</w:t>
      </w:r>
      <w:r>
        <w:rPr>
          <w:rFonts w:ascii="Calibri" w:hAnsi="Calibri" w:cs="Arial Mäori"/>
        </w:rPr>
        <w:t>tearawhiti</w:t>
      </w:r>
      <w:r w:rsidR="003B035D" w:rsidRPr="00FF2942">
        <w:rPr>
          <w:rFonts w:ascii="Calibri" w:hAnsi="Calibri" w:cs="Arial Mäori"/>
        </w:rPr>
        <w:t>.govt.nz</w:t>
      </w:r>
      <w:r w:rsidR="003B035D" w:rsidRPr="0069177E">
        <w:rPr>
          <w:rFonts w:ascii="Calibri" w:hAnsi="Calibri" w:cs="Arial Mäori"/>
        </w:rPr>
        <w:t>.</w:t>
      </w:r>
    </w:p>
    <w:sectPr w:rsidR="00F510F5" w:rsidSect="00D61F13">
      <w:headerReference w:type="default" r:id="rId8"/>
      <w:headerReference w:type="first" r:id="rId9"/>
      <w:pgSz w:w="11906" w:h="16838"/>
      <w:pgMar w:top="1440" w:right="1440" w:bottom="1440" w:left="1440" w:header="708" w:footer="708" w:gutter="0"/>
      <w:pgBorders w:offsetFrom="page">
        <w:top w:val="single" w:sz="36" w:space="24" w:color="BFBFBF" w:themeColor="background1" w:themeShade="BF"/>
        <w:left w:val="single" w:sz="36" w:space="24" w:color="BFBFBF" w:themeColor="background1" w:themeShade="BF"/>
        <w:bottom w:val="single" w:sz="36" w:space="24" w:color="BFBFBF" w:themeColor="background1" w:themeShade="BF"/>
        <w:right w:val="single" w:sz="36" w:space="24" w:color="BFBFBF" w:themeColor="background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0F5" w:rsidRDefault="00F510F5" w:rsidP="00E006C4">
      <w:r>
        <w:separator/>
      </w:r>
    </w:p>
  </w:endnote>
  <w:endnote w:type="continuationSeparator" w:id="0">
    <w:p w:rsidR="00F510F5" w:rsidRDefault="00F510F5" w:rsidP="00E0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Mäori">
    <w:panose1 w:val="020B0604020202020204"/>
    <w:charset w:val="00"/>
    <w:family w:val="swiss"/>
    <w:pitch w:val="variable"/>
    <w:sig w:usb0="00000285"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0F5" w:rsidRDefault="00F510F5" w:rsidP="00E006C4">
      <w:r>
        <w:separator/>
      </w:r>
    </w:p>
  </w:footnote>
  <w:footnote w:type="continuationSeparator" w:id="0">
    <w:p w:rsidR="00F510F5" w:rsidRDefault="00F510F5" w:rsidP="00E0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0F5" w:rsidRDefault="00F510F5" w:rsidP="00D61F13">
    <w:pPr>
      <w:pStyle w:val="Header"/>
      <w:tabs>
        <w:tab w:val="clear" w:pos="4513"/>
        <w:tab w:val="clear" w:pos="9026"/>
        <w:tab w:val="left" w:pos="37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0F5" w:rsidRDefault="00993D86">
    <w:pPr>
      <w:pStyle w:val="Header"/>
    </w:pPr>
    <w:r w:rsidRPr="00E804DB">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207645</wp:posOffset>
          </wp:positionV>
          <wp:extent cx="1800225" cy="762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86D9D"/>
    <w:multiLevelType w:val="hybridMultilevel"/>
    <w:tmpl w:val="903EF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4756278"/>
    <w:multiLevelType w:val="hybridMultilevel"/>
    <w:tmpl w:val="ACCA2D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5D1B13A2"/>
    <w:multiLevelType w:val="multilevel"/>
    <w:tmpl w:val="FEACAFAE"/>
    <w:lvl w:ilvl="0">
      <w:start w:val="1"/>
      <w:numFmt w:val="decimal"/>
      <w:pStyle w:val="ListParagraph"/>
      <w:lvlText w:val="%1."/>
      <w:lvlJc w:val="left"/>
      <w:pPr>
        <w:tabs>
          <w:tab w:val="num" w:pos="567"/>
        </w:tabs>
        <w:ind w:left="567" w:hanging="567"/>
      </w:pPr>
    </w:lvl>
    <w:lvl w:ilvl="1">
      <w:start w:val="1"/>
      <w:numFmt w:val="lowerLetter"/>
      <w:lvlText w:val="%2."/>
      <w:lvlJc w:val="left"/>
      <w:pPr>
        <w:tabs>
          <w:tab w:val="num" w:pos="1134"/>
        </w:tabs>
        <w:ind w:left="1134" w:hanging="567"/>
      </w:pPr>
      <w:rPr>
        <w:b w:val="0"/>
      </w:rPr>
    </w:lvl>
    <w:lvl w:ilvl="2">
      <w:start w:val="1"/>
      <w:numFmt w:val="lowerRoman"/>
      <w:lvlText w:val="%3."/>
      <w:lvlJc w:val="left"/>
      <w:pPr>
        <w:tabs>
          <w:tab w:val="num" w:pos="1701"/>
        </w:tabs>
        <w:ind w:left="1701" w:hanging="567"/>
      </w:pPr>
    </w:lvl>
    <w:lvl w:ilvl="3">
      <w:start w:val="1"/>
      <w:numFmt w:val="upperLetter"/>
      <w:lvlText w:val="%4."/>
      <w:lvlJc w:val="left"/>
      <w:pPr>
        <w:tabs>
          <w:tab w:val="num" w:pos="2268"/>
        </w:tabs>
        <w:ind w:left="2268" w:hanging="567"/>
      </w:pPr>
    </w:lvl>
    <w:lvl w:ilvl="4">
      <w:start w:val="1"/>
      <w:numFmt w:val="upperRoman"/>
      <w:lvlText w:val="%5."/>
      <w:lvlJc w:val="left"/>
      <w:pPr>
        <w:tabs>
          <w:tab w:val="num" w:pos="2835"/>
        </w:tabs>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3" w15:restartNumberingAfterBreak="0">
    <w:nsid w:val="6FCC2E28"/>
    <w:multiLevelType w:val="hybridMultilevel"/>
    <w:tmpl w:val="EE32763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5D"/>
    <w:rsid w:val="00075834"/>
    <w:rsid w:val="000D0305"/>
    <w:rsid w:val="00154DA7"/>
    <w:rsid w:val="001B65CA"/>
    <w:rsid w:val="001C2F43"/>
    <w:rsid w:val="001D5BDA"/>
    <w:rsid w:val="001F202D"/>
    <w:rsid w:val="001F54DE"/>
    <w:rsid w:val="0021751D"/>
    <w:rsid w:val="002963EE"/>
    <w:rsid w:val="0030365B"/>
    <w:rsid w:val="0032487A"/>
    <w:rsid w:val="00347338"/>
    <w:rsid w:val="003B035D"/>
    <w:rsid w:val="003D7155"/>
    <w:rsid w:val="00502C98"/>
    <w:rsid w:val="00540213"/>
    <w:rsid w:val="005728C2"/>
    <w:rsid w:val="0059439E"/>
    <w:rsid w:val="005D3F09"/>
    <w:rsid w:val="005F1E92"/>
    <w:rsid w:val="00612687"/>
    <w:rsid w:val="006C0156"/>
    <w:rsid w:val="006F6303"/>
    <w:rsid w:val="00715735"/>
    <w:rsid w:val="00757D03"/>
    <w:rsid w:val="0077249C"/>
    <w:rsid w:val="007822C1"/>
    <w:rsid w:val="007B3BB7"/>
    <w:rsid w:val="007F7411"/>
    <w:rsid w:val="00833B63"/>
    <w:rsid w:val="008D59EA"/>
    <w:rsid w:val="008D5B02"/>
    <w:rsid w:val="009131F5"/>
    <w:rsid w:val="0095080B"/>
    <w:rsid w:val="00993D86"/>
    <w:rsid w:val="009C71D3"/>
    <w:rsid w:val="00A00DB5"/>
    <w:rsid w:val="00A14721"/>
    <w:rsid w:val="00A83018"/>
    <w:rsid w:val="00AF6F0E"/>
    <w:rsid w:val="00B12038"/>
    <w:rsid w:val="00B16979"/>
    <w:rsid w:val="00B3134E"/>
    <w:rsid w:val="00B4288D"/>
    <w:rsid w:val="00BE09E8"/>
    <w:rsid w:val="00CB2E28"/>
    <w:rsid w:val="00CE5523"/>
    <w:rsid w:val="00D2301A"/>
    <w:rsid w:val="00D61F13"/>
    <w:rsid w:val="00E006C4"/>
    <w:rsid w:val="00E02891"/>
    <w:rsid w:val="00E21B01"/>
    <w:rsid w:val="00E74AC1"/>
    <w:rsid w:val="00E8416B"/>
    <w:rsid w:val="00EF6EFC"/>
    <w:rsid w:val="00F14D73"/>
    <w:rsid w:val="00F510F5"/>
    <w:rsid w:val="00F96BE9"/>
    <w:rsid w:val="00FC170F"/>
    <w:rsid w:val="00FF29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B407CF"/>
  <w15:docId w15:val="{BAC67707-3A92-4D33-9F03-4735EA85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35D"/>
    <w:pPr>
      <w:spacing w:after="0" w:line="240" w:lineRule="auto"/>
    </w:pPr>
    <w:rPr>
      <w:rFonts w:ascii="Times New Roman" w:eastAsia="Times New Roman" w:hAnsi="Times New Roman" w:cs="Times New Roman"/>
      <w:sz w:val="24"/>
      <w:szCs w:val="24"/>
      <w:lang w:eastAsia="en-NZ"/>
    </w:rPr>
  </w:style>
  <w:style w:type="paragraph" w:styleId="Heading2">
    <w:name w:val="heading 2"/>
    <w:basedOn w:val="Normal"/>
    <w:next w:val="Normal"/>
    <w:link w:val="Heading2Char"/>
    <w:qFormat/>
    <w:rsid w:val="003B035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035D"/>
    <w:rPr>
      <w:rFonts w:ascii="Arial" w:eastAsia="Times New Roman" w:hAnsi="Arial" w:cs="Arial"/>
      <w:b/>
      <w:bCs/>
      <w:i/>
      <w:iCs/>
      <w:sz w:val="28"/>
      <w:szCs w:val="28"/>
      <w:lang w:eastAsia="en-NZ"/>
    </w:rPr>
  </w:style>
  <w:style w:type="paragraph" w:styleId="NoSpacing">
    <w:name w:val="No Spacing"/>
    <w:basedOn w:val="Normal"/>
    <w:uiPriority w:val="99"/>
    <w:qFormat/>
    <w:rsid w:val="003B035D"/>
    <w:pPr>
      <w:spacing w:after="200" w:line="276" w:lineRule="auto"/>
    </w:pPr>
    <w:rPr>
      <w:rFonts w:ascii="Calibri" w:eastAsia="Calibri" w:hAnsi="Calibri"/>
      <w:sz w:val="22"/>
      <w:szCs w:val="32"/>
      <w:lang w:eastAsia="en-US"/>
    </w:rPr>
  </w:style>
  <w:style w:type="character" w:customStyle="1" w:styleId="ListParagraphChar">
    <w:name w:val="List Paragraph Char"/>
    <w:basedOn w:val="DefaultParagraphFont"/>
    <w:link w:val="ListParagraph"/>
    <w:locked/>
    <w:rsid w:val="003B035D"/>
  </w:style>
  <w:style w:type="paragraph" w:styleId="ListParagraph">
    <w:name w:val="List Paragraph"/>
    <w:basedOn w:val="Normal"/>
    <w:link w:val="ListParagraphChar"/>
    <w:qFormat/>
    <w:rsid w:val="003B035D"/>
    <w:pPr>
      <w:numPr>
        <w:numId w:val="1"/>
      </w:numPr>
      <w:spacing w:after="180" w:line="252" w:lineRule="auto"/>
      <w:jc w:val="both"/>
    </w:pPr>
    <w:rPr>
      <w:rFonts w:asciiTheme="minorHAnsi" w:eastAsiaTheme="minorHAnsi" w:hAnsiTheme="minorHAnsi" w:cstheme="minorBidi"/>
      <w:sz w:val="22"/>
      <w:szCs w:val="22"/>
      <w:lang w:eastAsia="en-US"/>
    </w:rPr>
  </w:style>
  <w:style w:type="paragraph" w:customStyle="1" w:styleId="Default">
    <w:name w:val="Default"/>
    <w:rsid w:val="003B035D"/>
    <w:pPr>
      <w:autoSpaceDE w:val="0"/>
      <w:autoSpaceDN w:val="0"/>
      <w:adjustRightInd w:val="0"/>
      <w:spacing w:after="0" w:line="240" w:lineRule="auto"/>
    </w:pPr>
    <w:rPr>
      <w:rFonts w:ascii="Calibri" w:eastAsia="Times New Roman" w:hAnsi="Calibri" w:cs="Calibri"/>
      <w:color w:val="000000"/>
      <w:sz w:val="24"/>
      <w:szCs w:val="24"/>
      <w:lang w:eastAsia="en-NZ"/>
    </w:rPr>
  </w:style>
  <w:style w:type="character" w:styleId="Hyperlink">
    <w:name w:val="Hyperlink"/>
    <w:basedOn w:val="DefaultParagraphFont"/>
    <w:rsid w:val="003B035D"/>
    <w:rPr>
      <w:color w:val="0000FF"/>
      <w:u w:val="single"/>
    </w:rPr>
  </w:style>
  <w:style w:type="paragraph" w:styleId="Header">
    <w:name w:val="header"/>
    <w:basedOn w:val="Normal"/>
    <w:link w:val="HeaderChar"/>
    <w:uiPriority w:val="99"/>
    <w:unhideWhenUsed/>
    <w:rsid w:val="00E006C4"/>
    <w:pPr>
      <w:tabs>
        <w:tab w:val="center" w:pos="4513"/>
        <w:tab w:val="right" w:pos="9026"/>
      </w:tabs>
    </w:pPr>
  </w:style>
  <w:style w:type="character" w:customStyle="1" w:styleId="HeaderChar">
    <w:name w:val="Header Char"/>
    <w:basedOn w:val="DefaultParagraphFont"/>
    <w:link w:val="Header"/>
    <w:uiPriority w:val="99"/>
    <w:rsid w:val="00E006C4"/>
    <w:rPr>
      <w:rFonts w:ascii="Times New Roman" w:eastAsia="Times New Roman" w:hAnsi="Times New Roman" w:cs="Times New Roman"/>
      <w:sz w:val="24"/>
      <w:szCs w:val="24"/>
      <w:lang w:eastAsia="en-NZ"/>
    </w:rPr>
  </w:style>
  <w:style w:type="paragraph" w:styleId="Footer">
    <w:name w:val="footer"/>
    <w:basedOn w:val="Normal"/>
    <w:link w:val="FooterChar"/>
    <w:uiPriority w:val="99"/>
    <w:unhideWhenUsed/>
    <w:rsid w:val="00E006C4"/>
    <w:pPr>
      <w:tabs>
        <w:tab w:val="center" w:pos="4513"/>
        <w:tab w:val="right" w:pos="9026"/>
      </w:tabs>
    </w:pPr>
  </w:style>
  <w:style w:type="character" w:customStyle="1" w:styleId="FooterChar">
    <w:name w:val="Footer Char"/>
    <w:basedOn w:val="DefaultParagraphFont"/>
    <w:link w:val="Footer"/>
    <w:uiPriority w:val="99"/>
    <w:rsid w:val="00E006C4"/>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F14D73"/>
    <w:rPr>
      <w:color w:val="800080" w:themeColor="followedHyperlink"/>
      <w:u w:val="single"/>
    </w:rPr>
  </w:style>
  <w:style w:type="character" w:styleId="UnresolvedMention">
    <w:name w:val="Unresolved Mention"/>
    <w:basedOn w:val="DefaultParagraphFont"/>
    <w:uiPriority w:val="99"/>
    <w:semiHidden/>
    <w:unhideWhenUsed/>
    <w:rsid w:val="0021751D"/>
    <w:rPr>
      <w:color w:val="808080"/>
      <w:shd w:val="clear" w:color="auto" w:fill="E6E6E6"/>
    </w:rPr>
  </w:style>
  <w:style w:type="paragraph" w:styleId="BalloonText">
    <w:name w:val="Balloon Text"/>
    <w:basedOn w:val="Normal"/>
    <w:link w:val="BalloonTextChar"/>
    <w:uiPriority w:val="99"/>
    <w:semiHidden/>
    <w:unhideWhenUsed/>
    <w:rsid w:val="00EF6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FC"/>
    <w:rPr>
      <w:rFonts w:ascii="Segoe UI" w:eastAsia="Times New Roman" w:hAnsi="Segoe UI" w:cs="Segoe UI"/>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H:\Green-Diagr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E437D241</Template>
  <TotalTime>16</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Stainton-Herbert, Kimberly</dc:creator>
  <cp:lastModifiedBy>Wood, Aynsley</cp:lastModifiedBy>
  <cp:revision>4</cp:revision>
  <cp:lastPrinted>2019-01-22T00:31:00Z</cp:lastPrinted>
  <dcterms:created xsi:type="dcterms:W3CDTF">2019-01-22T00:26:00Z</dcterms:created>
  <dcterms:modified xsi:type="dcterms:W3CDTF">2019-01-22T00:42:00Z</dcterms:modified>
</cp:coreProperties>
</file>